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9284" w14:textId="77777777" w:rsidR="00021853" w:rsidRDefault="00021853" w:rsidP="00021853">
      <w:pPr>
        <w:jc w:val="right"/>
      </w:pPr>
      <w:r>
        <w:rPr>
          <w:rFonts w:hint="eastAsia"/>
        </w:rPr>
        <w:t>（別添資料）</w:t>
      </w:r>
    </w:p>
    <w:p w14:paraId="0F7494DE" w14:textId="5062C649" w:rsidR="00021853" w:rsidRDefault="00B212EE">
      <w:r>
        <w:rPr>
          <w:rFonts w:hint="eastAsia"/>
        </w:rPr>
        <w:t>放課後等デイサービス　ひかりスター</w:t>
      </w:r>
      <w:r w:rsidR="00B279E6">
        <w:rPr>
          <w:rFonts w:hint="eastAsia"/>
        </w:rPr>
        <w:t xml:space="preserve">　　　　　　　　　　　　　　</w:t>
      </w:r>
      <w:r w:rsidR="00620ED2">
        <w:rPr>
          <w:rFonts w:hint="eastAsia"/>
        </w:rPr>
        <w:t xml:space="preserve">　</w:t>
      </w:r>
      <w:r w:rsidR="00021853" w:rsidRPr="00021853">
        <w:rPr>
          <w:rFonts w:hint="eastAsia"/>
          <w:sz w:val="28"/>
        </w:rPr>
        <w:t>支援プログラム</w:t>
      </w:r>
      <w:r w:rsidR="00B279E6">
        <w:rPr>
          <w:rFonts w:hint="eastAsia"/>
          <w:sz w:val="28"/>
        </w:rPr>
        <w:t xml:space="preserve">　　　　</w:t>
      </w:r>
      <w:r>
        <w:rPr>
          <w:rFonts w:hint="eastAsia"/>
          <w:sz w:val="28"/>
        </w:rPr>
        <w:t xml:space="preserve">　</w:t>
      </w:r>
      <w:r w:rsidR="00B279E6">
        <w:rPr>
          <w:rFonts w:hint="eastAsia"/>
          <w:sz w:val="28"/>
        </w:rPr>
        <w:t xml:space="preserve">　　　　</w:t>
      </w:r>
      <w:r w:rsidR="00021853">
        <w:tab/>
      </w:r>
      <w:r w:rsidR="00021853">
        <w:rPr>
          <w:rFonts w:hint="eastAsia"/>
        </w:rPr>
        <w:t>作成日</w:t>
      </w:r>
      <w:r w:rsidR="00021853">
        <w:tab/>
      </w:r>
      <w:r w:rsidR="00021853">
        <w:tab/>
      </w:r>
      <w:r w:rsidR="00021853">
        <w:rPr>
          <w:rFonts w:hint="eastAsia"/>
        </w:rPr>
        <w:t>年</w:t>
      </w:r>
      <w:r w:rsidR="00021853">
        <w:tab/>
      </w:r>
      <w:r w:rsidR="00021853">
        <w:rPr>
          <w:rFonts w:hint="eastAsia"/>
        </w:rPr>
        <w:t>月</w:t>
      </w:r>
      <w:r w:rsidR="00021853">
        <w:tab/>
      </w:r>
      <w:r w:rsidR="00021853">
        <w:rPr>
          <w:rFonts w:hint="eastAsia"/>
        </w:rPr>
        <w:t>日</w:t>
      </w:r>
    </w:p>
    <w:tbl>
      <w:tblPr>
        <w:tblStyle w:val="a3"/>
        <w:tblW w:w="0" w:type="auto"/>
        <w:tblLook w:val="04A0" w:firstRow="1" w:lastRow="0" w:firstColumn="1" w:lastColumn="0" w:noHBand="0" w:noVBand="1"/>
      </w:tblPr>
      <w:tblGrid>
        <w:gridCol w:w="427"/>
        <w:gridCol w:w="2116"/>
        <w:gridCol w:w="5138"/>
        <w:gridCol w:w="1934"/>
        <w:gridCol w:w="5737"/>
      </w:tblGrid>
      <w:tr w:rsidR="003C7495" w14:paraId="1F4BDA63" w14:textId="77777777" w:rsidTr="003C7495">
        <w:trPr>
          <w:trHeight w:val="720"/>
        </w:trPr>
        <w:tc>
          <w:tcPr>
            <w:tcW w:w="2543" w:type="dxa"/>
            <w:gridSpan w:val="2"/>
            <w:tcBorders>
              <w:top w:val="single" w:sz="18" w:space="0" w:color="auto"/>
              <w:left w:val="single" w:sz="18" w:space="0" w:color="auto"/>
            </w:tcBorders>
            <w:shd w:val="clear" w:color="auto" w:fill="E7E6E6" w:themeFill="background2"/>
            <w:vAlign w:val="center"/>
          </w:tcPr>
          <w:p w14:paraId="067FC3FF" w14:textId="77777777" w:rsidR="003C7495" w:rsidRDefault="003C7495" w:rsidP="00B279E6">
            <w:pPr>
              <w:jc w:val="center"/>
            </w:pPr>
            <w:r>
              <w:rPr>
                <w:rFonts w:hint="eastAsia"/>
              </w:rPr>
              <w:t>法人（事業所）理念</w:t>
            </w:r>
          </w:p>
        </w:tc>
        <w:tc>
          <w:tcPr>
            <w:tcW w:w="12809" w:type="dxa"/>
            <w:gridSpan w:val="3"/>
            <w:tcBorders>
              <w:top w:val="single" w:sz="18" w:space="0" w:color="auto"/>
              <w:right w:val="single" w:sz="18" w:space="0" w:color="auto"/>
            </w:tcBorders>
            <w:vAlign w:val="center"/>
          </w:tcPr>
          <w:p w14:paraId="1EB9D67F" w14:textId="77777777" w:rsidR="003C7495" w:rsidRDefault="005E5C07" w:rsidP="00522941">
            <w:pPr>
              <w:jc w:val="left"/>
            </w:pPr>
            <w:r>
              <w:rPr>
                <w:rFonts w:hint="eastAsia"/>
              </w:rPr>
              <w:t>「縁和会」へのおもい</w:t>
            </w:r>
          </w:p>
          <w:p w14:paraId="2A51CDAB" w14:textId="0641111F" w:rsidR="005E5C07" w:rsidRDefault="005E5C07" w:rsidP="00522941">
            <w:pPr>
              <w:jc w:val="left"/>
            </w:pPr>
            <w:r>
              <w:rPr>
                <w:rFonts w:hint="eastAsia"/>
              </w:rPr>
              <w:t>“縁”...人と人とのめぐり合わせに「感謝」して　“和”...おだやかな「心」をもった　“会”...人々の「集まり」にしたい</w:t>
            </w:r>
          </w:p>
        </w:tc>
      </w:tr>
      <w:tr w:rsidR="003C7495" w14:paraId="7346D16E" w14:textId="77777777" w:rsidTr="0072298D">
        <w:trPr>
          <w:trHeight w:val="720"/>
        </w:trPr>
        <w:tc>
          <w:tcPr>
            <w:tcW w:w="2543" w:type="dxa"/>
            <w:gridSpan w:val="2"/>
            <w:tcBorders>
              <w:left w:val="single" w:sz="18" w:space="0" w:color="auto"/>
            </w:tcBorders>
            <w:shd w:val="clear" w:color="auto" w:fill="E7E6E6" w:themeFill="background2"/>
            <w:vAlign w:val="center"/>
          </w:tcPr>
          <w:p w14:paraId="3C05C375" w14:textId="77777777" w:rsidR="003C7495" w:rsidRDefault="003C7495" w:rsidP="00B279E6">
            <w:pPr>
              <w:jc w:val="center"/>
            </w:pPr>
            <w:r>
              <w:rPr>
                <w:rFonts w:hint="eastAsia"/>
              </w:rPr>
              <w:t>支援方針</w:t>
            </w:r>
          </w:p>
        </w:tc>
        <w:tc>
          <w:tcPr>
            <w:tcW w:w="12809" w:type="dxa"/>
            <w:gridSpan w:val="3"/>
            <w:tcBorders>
              <w:right w:val="single" w:sz="18" w:space="0" w:color="auto"/>
            </w:tcBorders>
            <w:vAlign w:val="center"/>
          </w:tcPr>
          <w:p w14:paraId="27C2B281" w14:textId="23FD3FC3" w:rsidR="003C7495" w:rsidRDefault="005E5C07" w:rsidP="00522941">
            <w:pPr>
              <w:jc w:val="left"/>
            </w:pPr>
            <w:r>
              <w:rPr>
                <w:rFonts w:hint="eastAsia"/>
              </w:rPr>
              <w:t>成長をあたたかく見守りながら、遊びや集団生活を通して、一人ひとりの個性と発達段階にあわせた専門的な視点で支援し、子どもたちと楽しく過ごす</w:t>
            </w:r>
          </w:p>
        </w:tc>
      </w:tr>
      <w:tr w:rsidR="00021853" w14:paraId="1E4223D1" w14:textId="77777777" w:rsidTr="003C7495">
        <w:trPr>
          <w:trHeight w:val="720"/>
        </w:trPr>
        <w:tc>
          <w:tcPr>
            <w:tcW w:w="2543" w:type="dxa"/>
            <w:gridSpan w:val="2"/>
            <w:tcBorders>
              <w:left w:val="single" w:sz="18" w:space="0" w:color="auto"/>
              <w:bottom w:val="double" w:sz="4" w:space="0" w:color="auto"/>
            </w:tcBorders>
            <w:shd w:val="clear" w:color="auto" w:fill="E7E6E6" w:themeFill="background2"/>
            <w:vAlign w:val="center"/>
          </w:tcPr>
          <w:p w14:paraId="7EDD6F9B" w14:textId="77777777" w:rsidR="00021853" w:rsidRDefault="00021853" w:rsidP="00B279E6">
            <w:pPr>
              <w:jc w:val="center"/>
            </w:pPr>
            <w:r>
              <w:rPr>
                <w:rFonts w:hint="eastAsia"/>
              </w:rPr>
              <w:t>営業時間</w:t>
            </w:r>
          </w:p>
        </w:tc>
        <w:tc>
          <w:tcPr>
            <w:tcW w:w="5138" w:type="dxa"/>
            <w:tcBorders>
              <w:bottom w:val="double" w:sz="4" w:space="0" w:color="auto"/>
            </w:tcBorders>
            <w:vAlign w:val="center"/>
          </w:tcPr>
          <w:p w14:paraId="580FE022" w14:textId="257D26CC" w:rsidR="00021853" w:rsidRDefault="003C7495" w:rsidP="003C7495">
            <w:r w:rsidRPr="003C7495">
              <w:rPr>
                <w:rFonts w:hint="eastAsia"/>
                <w:spacing w:val="210"/>
                <w:kern w:val="0"/>
                <w:fitText w:val="840" w:id="-762154495"/>
              </w:rPr>
              <w:t>平</w:t>
            </w:r>
            <w:r w:rsidRPr="003C7495">
              <w:rPr>
                <w:rFonts w:hint="eastAsia"/>
                <w:kern w:val="0"/>
                <w:fitText w:val="840" w:id="-762154495"/>
              </w:rPr>
              <w:t>日</w:t>
            </w:r>
            <w:r>
              <w:rPr>
                <w:rFonts w:hint="eastAsia"/>
              </w:rPr>
              <w:t>：10</w:t>
            </w:r>
            <w:r w:rsidR="00021853">
              <w:rPr>
                <w:rFonts w:hint="eastAsia"/>
              </w:rPr>
              <w:t>時</w:t>
            </w:r>
            <w:r>
              <w:rPr>
                <w:rFonts w:hint="eastAsia"/>
              </w:rPr>
              <w:t>00</w:t>
            </w:r>
            <w:r w:rsidR="00021853">
              <w:rPr>
                <w:rFonts w:hint="eastAsia"/>
              </w:rPr>
              <w:t>分から</w:t>
            </w:r>
            <w:r>
              <w:rPr>
                <w:rFonts w:hint="eastAsia"/>
              </w:rPr>
              <w:t>18</w:t>
            </w:r>
            <w:r w:rsidR="00021853">
              <w:rPr>
                <w:rFonts w:hint="eastAsia"/>
              </w:rPr>
              <w:t>時</w:t>
            </w:r>
            <w:r>
              <w:rPr>
                <w:rFonts w:hint="eastAsia"/>
              </w:rPr>
              <w:t>00</w:t>
            </w:r>
            <w:r w:rsidR="00021853">
              <w:rPr>
                <w:rFonts w:hint="eastAsia"/>
              </w:rPr>
              <w:t>分まで</w:t>
            </w:r>
          </w:p>
          <w:p w14:paraId="1A857CD7" w14:textId="77777777" w:rsidR="003C7495" w:rsidRDefault="003C7495" w:rsidP="003C7495">
            <w:pPr>
              <w:jc w:val="left"/>
            </w:pPr>
            <w:r w:rsidRPr="003C7495">
              <w:rPr>
                <w:rFonts w:hint="eastAsia"/>
                <w:spacing w:val="52"/>
                <w:kern w:val="0"/>
                <w:fitText w:val="840" w:id="-762154496"/>
              </w:rPr>
              <w:t>土曜</w:t>
            </w:r>
            <w:r w:rsidRPr="003C7495">
              <w:rPr>
                <w:rFonts w:hint="eastAsia"/>
                <w:spacing w:val="1"/>
                <w:kern w:val="0"/>
                <w:fitText w:val="840" w:id="-762154496"/>
              </w:rPr>
              <w:t>日</w:t>
            </w:r>
            <w:r>
              <w:rPr>
                <w:rFonts w:hint="eastAsia"/>
              </w:rPr>
              <w:t>： 8時00分から16時00分まで</w:t>
            </w:r>
          </w:p>
          <w:p w14:paraId="100F76E3" w14:textId="0C280DA6" w:rsidR="003C7495" w:rsidRPr="003C7495" w:rsidRDefault="003C7495" w:rsidP="003C7495">
            <w:pPr>
              <w:jc w:val="left"/>
            </w:pPr>
            <w:r>
              <w:rPr>
                <w:rFonts w:hint="eastAsia"/>
              </w:rPr>
              <w:t>長期休暇： 9時00分から17時00分まで</w:t>
            </w:r>
          </w:p>
        </w:tc>
        <w:tc>
          <w:tcPr>
            <w:tcW w:w="1934" w:type="dxa"/>
            <w:tcBorders>
              <w:bottom w:val="double" w:sz="4" w:space="0" w:color="auto"/>
            </w:tcBorders>
            <w:shd w:val="clear" w:color="auto" w:fill="E7E6E6" w:themeFill="background2"/>
            <w:vAlign w:val="center"/>
          </w:tcPr>
          <w:p w14:paraId="3C509365" w14:textId="77777777" w:rsidR="00021853" w:rsidRPr="00021853" w:rsidRDefault="00021853" w:rsidP="00B279E6">
            <w:pPr>
              <w:jc w:val="center"/>
            </w:pPr>
            <w:r>
              <w:rPr>
                <w:rFonts w:hint="eastAsia"/>
              </w:rPr>
              <w:t>送迎実施の有無</w:t>
            </w:r>
          </w:p>
        </w:tc>
        <w:tc>
          <w:tcPr>
            <w:tcW w:w="5737" w:type="dxa"/>
            <w:tcBorders>
              <w:bottom w:val="double" w:sz="4" w:space="0" w:color="auto"/>
              <w:right w:val="single" w:sz="18" w:space="0" w:color="auto"/>
            </w:tcBorders>
            <w:vAlign w:val="center"/>
          </w:tcPr>
          <w:p w14:paraId="7A33549E" w14:textId="2EC30C22" w:rsidR="00021853" w:rsidRDefault="00021853" w:rsidP="00B279E6">
            <w:pPr>
              <w:jc w:val="center"/>
            </w:pPr>
            <w:r>
              <w:rPr>
                <w:rFonts w:hint="eastAsia"/>
              </w:rPr>
              <w:t>あり</w:t>
            </w:r>
          </w:p>
        </w:tc>
      </w:tr>
      <w:tr w:rsidR="00021853" w14:paraId="37B8F4C7" w14:textId="77777777" w:rsidTr="003C7495">
        <w:trPr>
          <w:trHeight w:val="398"/>
        </w:trPr>
        <w:tc>
          <w:tcPr>
            <w:tcW w:w="15352" w:type="dxa"/>
            <w:gridSpan w:val="5"/>
            <w:tcBorders>
              <w:top w:val="double" w:sz="4" w:space="0" w:color="auto"/>
              <w:left w:val="single" w:sz="18" w:space="0" w:color="auto"/>
              <w:right w:val="single" w:sz="18" w:space="0" w:color="auto"/>
            </w:tcBorders>
            <w:shd w:val="clear" w:color="auto" w:fill="E7E6E6" w:themeFill="background2"/>
            <w:vAlign w:val="center"/>
          </w:tcPr>
          <w:p w14:paraId="6A64CA7C" w14:textId="77777777" w:rsidR="00021853" w:rsidRPr="00B279E6" w:rsidRDefault="00021853" w:rsidP="00B279E6">
            <w:pPr>
              <w:jc w:val="center"/>
              <w:rPr>
                <w:sz w:val="22"/>
              </w:rPr>
            </w:pPr>
            <w:r w:rsidRPr="00B279E6">
              <w:rPr>
                <w:rFonts w:hint="eastAsia"/>
                <w:sz w:val="22"/>
              </w:rPr>
              <w:t>支</w:t>
            </w:r>
            <w:r w:rsidR="00620ED2">
              <w:rPr>
                <w:rFonts w:hint="eastAsia"/>
                <w:sz w:val="22"/>
              </w:rPr>
              <w:t xml:space="preserve">　</w:t>
            </w:r>
            <w:r w:rsidRPr="00B279E6">
              <w:rPr>
                <w:rFonts w:hint="eastAsia"/>
                <w:sz w:val="22"/>
              </w:rPr>
              <w:t>援</w:t>
            </w:r>
            <w:r w:rsidR="00620ED2">
              <w:rPr>
                <w:rFonts w:hint="eastAsia"/>
                <w:sz w:val="22"/>
              </w:rPr>
              <w:t xml:space="preserve">　</w:t>
            </w:r>
            <w:r w:rsidRPr="00B279E6">
              <w:rPr>
                <w:rFonts w:hint="eastAsia"/>
                <w:sz w:val="22"/>
              </w:rPr>
              <w:t>内</w:t>
            </w:r>
            <w:r w:rsidR="00620ED2">
              <w:rPr>
                <w:rFonts w:hint="eastAsia"/>
                <w:sz w:val="22"/>
              </w:rPr>
              <w:t xml:space="preserve">　</w:t>
            </w:r>
            <w:r w:rsidRPr="00B279E6">
              <w:rPr>
                <w:rFonts w:hint="eastAsia"/>
                <w:sz w:val="22"/>
              </w:rPr>
              <w:t>容</w:t>
            </w:r>
          </w:p>
        </w:tc>
      </w:tr>
      <w:tr w:rsidR="00021853" w14:paraId="417D3B58" w14:textId="77777777" w:rsidTr="003C7495">
        <w:trPr>
          <w:trHeight w:val="720"/>
        </w:trPr>
        <w:tc>
          <w:tcPr>
            <w:tcW w:w="2543" w:type="dxa"/>
            <w:gridSpan w:val="2"/>
            <w:tcBorders>
              <w:left w:val="single" w:sz="18" w:space="0" w:color="auto"/>
            </w:tcBorders>
            <w:shd w:val="clear" w:color="auto" w:fill="E7E6E6" w:themeFill="background2"/>
            <w:vAlign w:val="center"/>
          </w:tcPr>
          <w:p w14:paraId="4D934830" w14:textId="77777777" w:rsidR="00021853" w:rsidRDefault="00021853" w:rsidP="00B279E6">
            <w:pPr>
              <w:jc w:val="center"/>
            </w:pPr>
            <w:r>
              <w:rPr>
                <w:rFonts w:hint="eastAsia"/>
              </w:rPr>
              <w:t>家族支援</w:t>
            </w:r>
          </w:p>
        </w:tc>
        <w:tc>
          <w:tcPr>
            <w:tcW w:w="5138" w:type="dxa"/>
            <w:vAlign w:val="center"/>
          </w:tcPr>
          <w:p w14:paraId="2B7876A2" w14:textId="77777777" w:rsidR="00021853" w:rsidRDefault="008661F1" w:rsidP="008661F1">
            <w:r>
              <w:rPr>
                <w:rFonts w:hint="eastAsia"/>
              </w:rPr>
              <w:t>家族からの相談に対する適切な助言</w:t>
            </w:r>
          </w:p>
          <w:p w14:paraId="264547BC" w14:textId="38EDCB1E" w:rsidR="008661F1" w:rsidRDefault="008661F1" w:rsidP="008661F1">
            <w:r>
              <w:rPr>
                <w:rFonts w:hint="eastAsia"/>
              </w:rPr>
              <w:t>個別面談、電話相談、連絡帳などのツールの活用</w:t>
            </w:r>
          </w:p>
        </w:tc>
        <w:tc>
          <w:tcPr>
            <w:tcW w:w="1934" w:type="dxa"/>
            <w:shd w:val="clear" w:color="auto" w:fill="E7E6E6" w:themeFill="background2"/>
            <w:vAlign w:val="center"/>
          </w:tcPr>
          <w:p w14:paraId="4ADDB929" w14:textId="77777777" w:rsidR="00021853" w:rsidRDefault="00021853" w:rsidP="00B279E6">
            <w:pPr>
              <w:jc w:val="center"/>
            </w:pPr>
            <w:r>
              <w:rPr>
                <w:rFonts w:hint="eastAsia"/>
              </w:rPr>
              <w:t>移行支援</w:t>
            </w:r>
          </w:p>
        </w:tc>
        <w:tc>
          <w:tcPr>
            <w:tcW w:w="5737" w:type="dxa"/>
            <w:tcBorders>
              <w:right w:val="single" w:sz="18" w:space="0" w:color="auto"/>
            </w:tcBorders>
            <w:vAlign w:val="center"/>
          </w:tcPr>
          <w:p w14:paraId="320BF09B" w14:textId="77777777" w:rsidR="00021853" w:rsidRDefault="00740759" w:rsidP="008661F1">
            <w:r>
              <w:rPr>
                <w:rFonts w:hint="eastAsia"/>
              </w:rPr>
              <w:t>保育所等訪問支援</w:t>
            </w:r>
          </w:p>
          <w:p w14:paraId="371526C6" w14:textId="52BACD0B" w:rsidR="00740759" w:rsidRDefault="00740759" w:rsidP="008661F1">
            <w:r>
              <w:rPr>
                <w:rFonts w:hint="eastAsia"/>
              </w:rPr>
              <w:t>学校や併用利用先との連携、情報共有や相談・助言</w:t>
            </w:r>
          </w:p>
        </w:tc>
      </w:tr>
      <w:tr w:rsidR="00021853" w14:paraId="38DA64C6" w14:textId="77777777" w:rsidTr="003C7495">
        <w:trPr>
          <w:trHeight w:val="720"/>
        </w:trPr>
        <w:tc>
          <w:tcPr>
            <w:tcW w:w="2543" w:type="dxa"/>
            <w:gridSpan w:val="2"/>
            <w:tcBorders>
              <w:left w:val="single" w:sz="18" w:space="0" w:color="auto"/>
            </w:tcBorders>
            <w:shd w:val="clear" w:color="auto" w:fill="E7E6E6" w:themeFill="background2"/>
            <w:vAlign w:val="center"/>
          </w:tcPr>
          <w:p w14:paraId="7C5A6865" w14:textId="77777777" w:rsidR="00021853" w:rsidRDefault="00021853" w:rsidP="00B279E6">
            <w:pPr>
              <w:jc w:val="center"/>
            </w:pPr>
            <w:r>
              <w:rPr>
                <w:rFonts w:hint="eastAsia"/>
              </w:rPr>
              <w:t>地域支援・地域連携</w:t>
            </w:r>
          </w:p>
        </w:tc>
        <w:tc>
          <w:tcPr>
            <w:tcW w:w="5138" w:type="dxa"/>
            <w:vAlign w:val="center"/>
          </w:tcPr>
          <w:p w14:paraId="3363EB32" w14:textId="3BFF3499" w:rsidR="00021853" w:rsidRDefault="00740759" w:rsidP="00740759">
            <w:r>
              <w:rPr>
                <w:rFonts w:hint="eastAsia"/>
              </w:rPr>
              <w:t>地域社会の行事に参加</w:t>
            </w:r>
          </w:p>
        </w:tc>
        <w:tc>
          <w:tcPr>
            <w:tcW w:w="1934" w:type="dxa"/>
            <w:shd w:val="clear" w:color="auto" w:fill="E7E6E6" w:themeFill="background2"/>
            <w:vAlign w:val="center"/>
          </w:tcPr>
          <w:p w14:paraId="1B42A46C" w14:textId="45FB9275" w:rsidR="00021853" w:rsidRDefault="00021853" w:rsidP="00B279E6">
            <w:pPr>
              <w:jc w:val="center"/>
            </w:pPr>
            <w:r>
              <w:rPr>
                <w:rFonts w:hint="eastAsia"/>
              </w:rPr>
              <w:t>職員の</w:t>
            </w:r>
            <w:r w:rsidR="00DA2DF5">
              <w:rPr>
                <w:rFonts w:hint="eastAsia"/>
              </w:rPr>
              <w:t>資質</w:t>
            </w:r>
            <w:r>
              <w:rPr>
                <w:rFonts w:hint="eastAsia"/>
              </w:rPr>
              <w:t>向上</w:t>
            </w:r>
          </w:p>
        </w:tc>
        <w:tc>
          <w:tcPr>
            <w:tcW w:w="5737" w:type="dxa"/>
            <w:tcBorders>
              <w:right w:val="single" w:sz="18" w:space="0" w:color="auto"/>
            </w:tcBorders>
            <w:vAlign w:val="center"/>
          </w:tcPr>
          <w:p w14:paraId="51F575B6" w14:textId="77777777" w:rsidR="00021853" w:rsidRDefault="00740759" w:rsidP="00740759">
            <w:r>
              <w:rPr>
                <w:rFonts w:hint="eastAsia"/>
              </w:rPr>
              <w:t>外部研修への参加（虐待防止、身体拘束、防災、感染症）</w:t>
            </w:r>
          </w:p>
          <w:p w14:paraId="66AA931B" w14:textId="335D0968" w:rsidR="00740759" w:rsidRPr="00740759" w:rsidRDefault="00740759" w:rsidP="00740759">
            <w:r>
              <w:rPr>
                <w:rFonts w:hint="eastAsia"/>
              </w:rPr>
              <w:t>事例検討を加えた個別のケース会議</w:t>
            </w:r>
          </w:p>
        </w:tc>
      </w:tr>
      <w:tr w:rsidR="00B279E6" w14:paraId="19214C23" w14:textId="77777777" w:rsidTr="003C7495">
        <w:trPr>
          <w:trHeight w:val="720"/>
        </w:trPr>
        <w:tc>
          <w:tcPr>
            <w:tcW w:w="2543" w:type="dxa"/>
            <w:gridSpan w:val="2"/>
            <w:tcBorders>
              <w:left w:val="single" w:sz="18" w:space="0" w:color="auto"/>
              <w:bottom w:val="double" w:sz="4" w:space="0" w:color="auto"/>
            </w:tcBorders>
            <w:shd w:val="clear" w:color="auto" w:fill="E7E6E6" w:themeFill="background2"/>
            <w:vAlign w:val="center"/>
          </w:tcPr>
          <w:p w14:paraId="2D58E456" w14:textId="77777777" w:rsidR="00B279E6" w:rsidRDefault="00B279E6" w:rsidP="00B279E6">
            <w:pPr>
              <w:jc w:val="center"/>
            </w:pPr>
            <w:r>
              <w:rPr>
                <w:rFonts w:hint="eastAsia"/>
              </w:rPr>
              <w:t>主な行事等</w:t>
            </w:r>
          </w:p>
        </w:tc>
        <w:tc>
          <w:tcPr>
            <w:tcW w:w="12809" w:type="dxa"/>
            <w:gridSpan w:val="3"/>
            <w:tcBorders>
              <w:bottom w:val="double" w:sz="4" w:space="0" w:color="auto"/>
              <w:right w:val="single" w:sz="18" w:space="0" w:color="auto"/>
            </w:tcBorders>
            <w:vAlign w:val="center"/>
          </w:tcPr>
          <w:p w14:paraId="463C7A01" w14:textId="5E8DDE28" w:rsidR="00B279E6" w:rsidRDefault="00740759" w:rsidP="00740759">
            <w:r>
              <w:rPr>
                <w:rFonts w:hint="eastAsia"/>
              </w:rPr>
              <w:t>月2回外部講師に依頼するフットサル教室。年末に保護者も参加可能なお餅つき大会。毎月開催する児童を祝うお誕生日会。</w:t>
            </w:r>
          </w:p>
        </w:tc>
      </w:tr>
      <w:tr w:rsidR="00B279E6" w:rsidRPr="006B57AB" w14:paraId="34373243" w14:textId="77777777" w:rsidTr="003C7495">
        <w:trPr>
          <w:trHeight w:val="720"/>
        </w:trPr>
        <w:tc>
          <w:tcPr>
            <w:tcW w:w="427" w:type="dxa"/>
            <w:vMerge w:val="restart"/>
            <w:tcBorders>
              <w:top w:val="double" w:sz="4" w:space="0" w:color="auto"/>
              <w:left w:val="single" w:sz="18" w:space="0" w:color="auto"/>
            </w:tcBorders>
            <w:shd w:val="clear" w:color="auto" w:fill="E7E6E6" w:themeFill="background2"/>
            <w:vAlign w:val="center"/>
          </w:tcPr>
          <w:p w14:paraId="2D72910A" w14:textId="77777777" w:rsidR="00B279E6" w:rsidRDefault="00B279E6" w:rsidP="00B279E6">
            <w:pPr>
              <w:jc w:val="center"/>
            </w:pPr>
            <w:r>
              <w:rPr>
                <w:rFonts w:hint="eastAsia"/>
              </w:rPr>
              <w:t>本人支援</w:t>
            </w:r>
          </w:p>
        </w:tc>
        <w:tc>
          <w:tcPr>
            <w:tcW w:w="2116" w:type="dxa"/>
            <w:tcBorders>
              <w:top w:val="double" w:sz="4" w:space="0" w:color="auto"/>
            </w:tcBorders>
            <w:shd w:val="clear" w:color="auto" w:fill="E7E6E6" w:themeFill="background2"/>
            <w:vAlign w:val="center"/>
          </w:tcPr>
          <w:p w14:paraId="1F32FA90" w14:textId="77777777" w:rsidR="00B279E6" w:rsidRDefault="00B279E6" w:rsidP="00B279E6">
            <w:pPr>
              <w:jc w:val="center"/>
            </w:pPr>
            <w:r>
              <w:rPr>
                <w:rFonts w:hint="eastAsia"/>
              </w:rPr>
              <w:t>健康・生活</w:t>
            </w:r>
          </w:p>
        </w:tc>
        <w:tc>
          <w:tcPr>
            <w:tcW w:w="12809" w:type="dxa"/>
            <w:gridSpan w:val="3"/>
            <w:tcBorders>
              <w:top w:val="double" w:sz="4" w:space="0" w:color="auto"/>
              <w:right w:val="single" w:sz="18" w:space="0" w:color="auto"/>
            </w:tcBorders>
          </w:tcPr>
          <w:p w14:paraId="13B2BC2D" w14:textId="77777777" w:rsidR="00B279E6" w:rsidRDefault="00884892" w:rsidP="00884892">
            <w:pPr>
              <w:pStyle w:val="a8"/>
              <w:numPr>
                <w:ilvl w:val="0"/>
                <w:numId w:val="1"/>
              </w:numPr>
              <w:ind w:leftChars="0"/>
            </w:pPr>
            <w:r>
              <w:rPr>
                <w:rFonts w:hint="eastAsia"/>
              </w:rPr>
              <w:t>心身・健康状態の把握：利用している日常から健康を観察。送迎時に利用児の体調や変化を学校または保護者と連携し、共有する。</w:t>
            </w:r>
          </w:p>
          <w:p w14:paraId="39034F48" w14:textId="493FB45D" w:rsidR="00884892" w:rsidRDefault="00884892" w:rsidP="00884892">
            <w:pPr>
              <w:pStyle w:val="a8"/>
              <w:numPr>
                <w:ilvl w:val="0"/>
                <w:numId w:val="1"/>
              </w:numPr>
              <w:ind w:leftChars="0"/>
            </w:pPr>
            <w:r>
              <w:rPr>
                <w:rFonts w:hint="eastAsia"/>
              </w:rPr>
              <w:t>健康の増進：登所時や昼食・おやつ前、トイレ後</w:t>
            </w:r>
            <w:r w:rsidR="007A5814">
              <w:rPr>
                <w:rFonts w:hint="eastAsia"/>
              </w:rPr>
              <w:t>の手洗いの徹底。</w:t>
            </w:r>
            <w:r w:rsidR="00BE797F">
              <w:rPr>
                <w:rFonts w:hint="eastAsia"/>
              </w:rPr>
              <w:t>体調に合わせた活動量の環境調整。</w:t>
            </w:r>
          </w:p>
          <w:p w14:paraId="6DF06F41" w14:textId="77777777" w:rsidR="00BE797F" w:rsidRDefault="00BE797F" w:rsidP="00884892">
            <w:pPr>
              <w:pStyle w:val="a8"/>
              <w:numPr>
                <w:ilvl w:val="0"/>
                <w:numId w:val="1"/>
              </w:numPr>
              <w:ind w:leftChars="0"/>
            </w:pPr>
            <w:r>
              <w:rPr>
                <w:rFonts w:hint="eastAsia"/>
              </w:rPr>
              <w:t>基本的生活スキルの習得：生活リズムの安定化。荷物の置き場の明確化。整理整頓の習慣の支援。身だしなみの整え方の支援。</w:t>
            </w:r>
          </w:p>
          <w:p w14:paraId="51760AF6" w14:textId="77777777" w:rsidR="00BE797F" w:rsidRDefault="00BE797F" w:rsidP="00884892">
            <w:pPr>
              <w:pStyle w:val="a8"/>
              <w:numPr>
                <w:ilvl w:val="0"/>
                <w:numId w:val="1"/>
              </w:numPr>
              <w:ind w:leftChars="0"/>
            </w:pPr>
            <w:r>
              <w:rPr>
                <w:rFonts w:hint="eastAsia"/>
              </w:rPr>
              <w:t>構造化による生活環境：</w:t>
            </w:r>
            <w:r w:rsidR="006B57AB">
              <w:rPr>
                <w:rFonts w:hint="eastAsia"/>
              </w:rPr>
              <w:t>掲示板を活用し、1日の活動の時間や</w:t>
            </w:r>
            <w:r>
              <w:rPr>
                <w:rFonts w:hint="eastAsia"/>
              </w:rPr>
              <w:t>空間</w:t>
            </w:r>
            <w:r w:rsidR="006B57AB">
              <w:rPr>
                <w:rFonts w:hint="eastAsia"/>
              </w:rPr>
              <w:t>の</w:t>
            </w:r>
            <w:r>
              <w:rPr>
                <w:rFonts w:hint="eastAsia"/>
              </w:rPr>
              <w:t>構造化</w:t>
            </w:r>
            <w:r w:rsidR="006B57AB">
              <w:rPr>
                <w:rFonts w:hint="eastAsia"/>
              </w:rPr>
              <w:t>。</w:t>
            </w:r>
          </w:p>
          <w:p w14:paraId="01C31632" w14:textId="4147EEE7" w:rsidR="006B57AB" w:rsidRDefault="006B57AB" w:rsidP="00884892">
            <w:pPr>
              <w:pStyle w:val="a8"/>
              <w:numPr>
                <w:ilvl w:val="0"/>
                <w:numId w:val="1"/>
              </w:numPr>
              <w:ind w:leftChars="0"/>
            </w:pPr>
            <w:r>
              <w:rPr>
                <w:rFonts w:hint="eastAsia"/>
              </w:rPr>
              <w:t>自立支援と日常生活：TPOに応じたあいさつ、言葉遣い</w:t>
            </w:r>
          </w:p>
        </w:tc>
      </w:tr>
      <w:tr w:rsidR="00B279E6" w14:paraId="427B9DF0" w14:textId="77777777" w:rsidTr="003C7495">
        <w:trPr>
          <w:trHeight w:val="720"/>
        </w:trPr>
        <w:tc>
          <w:tcPr>
            <w:tcW w:w="427" w:type="dxa"/>
            <w:vMerge/>
            <w:tcBorders>
              <w:left w:val="single" w:sz="18" w:space="0" w:color="auto"/>
            </w:tcBorders>
            <w:shd w:val="clear" w:color="auto" w:fill="E7E6E6" w:themeFill="background2"/>
          </w:tcPr>
          <w:p w14:paraId="449013BA" w14:textId="77777777" w:rsidR="00B279E6" w:rsidRDefault="00B279E6"/>
        </w:tc>
        <w:tc>
          <w:tcPr>
            <w:tcW w:w="2116" w:type="dxa"/>
            <w:shd w:val="clear" w:color="auto" w:fill="E7E6E6" w:themeFill="background2"/>
            <w:vAlign w:val="center"/>
          </w:tcPr>
          <w:p w14:paraId="665199D0" w14:textId="77777777" w:rsidR="00B279E6" w:rsidRDefault="00B279E6" w:rsidP="00B279E6">
            <w:pPr>
              <w:jc w:val="center"/>
            </w:pPr>
            <w:r>
              <w:rPr>
                <w:rFonts w:hint="eastAsia"/>
              </w:rPr>
              <w:t>運動・感覚</w:t>
            </w:r>
          </w:p>
        </w:tc>
        <w:tc>
          <w:tcPr>
            <w:tcW w:w="12809" w:type="dxa"/>
            <w:gridSpan w:val="3"/>
            <w:tcBorders>
              <w:right w:val="single" w:sz="18" w:space="0" w:color="auto"/>
            </w:tcBorders>
          </w:tcPr>
          <w:p w14:paraId="4B34B5E2" w14:textId="0B7510BA" w:rsidR="00B279E6" w:rsidRDefault="008D444E">
            <w:r>
              <w:rPr>
                <w:rFonts w:hint="eastAsia"/>
              </w:rPr>
              <w:t>日常生活に必要な動作や基本となる姿勢保持、上・下肢の運動や動作、身体の基本的技能</w:t>
            </w:r>
            <w:r w:rsidR="008661F1">
              <w:rPr>
                <w:rFonts w:hint="eastAsia"/>
              </w:rPr>
              <w:t>への</w:t>
            </w:r>
            <w:r>
              <w:rPr>
                <w:rFonts w:hint="eastAsia"/>
              </w:rPr>
              <w:t>支援を、遊びや活動を通じて</w:t>
            </w:r>
            <w:r w:rsidR="008661F1">
              <w:rPr>
                <w:rFonts w:hint="eastAsia"/>
              </w:rPr>
              <w:t>専門職の評価の基に、運動や感覚機能に対して適切な支援を行う。</w:t>
            </w:r>
          </w:p>
          <w:p w14:paraId="0AF5AFBF" w14:textId="1BBD4AE3" w:rsidR="00341149" w:rsidRDefault="00341149" w:rsidP="008661F1">
            <w:pPr>
              <w:pStyle w:val="a8"/>
              <w:numPr>
                <w:ilvl w:val="0"/>
                <w:numId w:val="5"/>
              </w:numPr>
              <w:ind w:leftChars="0"/>
            </w:pPr>
            <w:r>
              <w:rPr>
                <w:rFonts w:hint="eastAsia"/>
              </w:rPr>
              <w:t>追いかけっこなどの平行運動からトランポリンを用いた垂直運動、ボール用いた空間的な遊びといった粗大的な運動への療育。</w:t>
            </w:r>
          </w:p>
          <w:p w14:paraId="70B3DE69" w14:textId="0FAE36F8" w:rsidR="00341149" w:rsidRDefault="00341149" w:rsidP="008661F1">
            <w:pPr>
              <w:pStyle w:val="a8"/>
              <w:numPr>
                <w:ilvl w:val="0"/>
                <w:numId w:val="5"/>
              </w:numPr>
              <w:ind w:leftChars="0"/>
            </w:pPr>
            <w:r>
              <w:rPr>
                <w:rFonts w:hint="eastAsia"/>
              </w:rPr>
              <w:t>視覚や聴覚、触覚といった五感を刺激するようなゲーム遊びや構成遊びなどの感覚への療育。</w:t>
            </w:r>
          </w:p>
          <w:p w14:paraId="03C78073" w14:textId="1F8818D4" w:rsidR="00341149" w:rsidRDefault="008D444E" w:rsidP="008661F1">
            <w:pPr>
              <w:pStyle w:val="a8"/>
              <w:numPr>
                <w:ilvl w:val="0"/>
                <w:numId w:val="5"/>
              </w:numPr>
              <w:ind w:leftChars="0"/>
            </w:pPr>
            <w:r>
              <w:rPr>
                <w:rFonts w:hint="eastAsia"/>
              </w:rPr>
              <w:t>運動への苦手さや、</w:t>
            </w:r>
            <w:r w:rsidR="00341149">
              <w:rPr>
                <w:rFonts w:hint="eastAsia"/>
              </w:rPr>
              <w:t>聴覚、触覚、嗅覚への過敏さ</w:t>
            </w:r>
            <w:r w:rsidR="00A05548">
              <w:rPr>
                <w:rFonts w:hint="eastAsia"/>
              </w:rPr>
              <w:t>といった特性に合わせた</w:t>
            </w:r>
            <w:r w:rsidR="00341149">
              <w:rPr>
                <w:rFonts w:hint="eastAsia"/>
              </w:rPr>
              <w:t>環境的な配慮。</w:t>
            </w:r>
          </w:p>
          <w:p w14:paraId="5CB6F954" w14:textId="2D030690" w:rsidR="00341149" w:rsidRDefault="00341149" w:rsidP="008661F1">
            <w:pPr>
              <w:pStyle w:val="a8"/>
              <w:numPr>
                <w:ilvl w:val="0"/>
                <w:numId w:val="5"/>
              </w:numPr>
              <w:ind w:leftChars="0"/>
            </w:pPr>
            <w:r>
              <w:rPr>
                <w:rFonts w:hint="eastAsia"/>
              </w:rPr>
              <w:lastRenderedPageBreak/>
              <w:t>月2回開催のフットサルにて、運動・感覚に対する総括的な学習ができる支援。</w:t>
            </w:r>
          </w:p>
          <w:p w14:paraId="0B81AF3D" w14:textId="463206B7" w:rsidR="00341149" w:rsidRDefault="006147DC" w:rsidP="008661F1">
            <w:pPr>
              <w:pStyle w:val="a8"/>
              <w:numPr>
                <w:ilvl w:val="0"/>
                <w:numId w:val="5"/>
              </w:numPr>
              <w:ind w:leftChars="0"/>
            </w:pPr>
            <w:r>
              <w:rPr>
                <w:rFonts w:hint="eastAsia"/>
              </w:rPr>
              <w:t>ブロック遊びやLaQ（ラキュー）、トランプ、オセロなどで指先を使った巧緻的な遊びの体験。</w:t>
            </w:r>
          </w:p>
          <w:p w14:paraId="6386B932" w14:textId="04D1200A" w:rsidR="006147DC" w:rsidRPr="00341149" w:rsidRDefault="006147DC" w:rsidP="008661F1">
            <w:pPr>
              <w:pStyle w:val="a8"/>
              <w:numPr>
                <w:ilvl w:val="0"/>
                <w:numId w:val="5"/>
              </w:numPr>
              <w:ind w:leftChars="0"/>
            </w:pPr>
            <w:r>
              <w:rPr>
                <w:rFonts w:hint="eastAsia"/>
              </w:rPr>
              <w:t>サーキットや鉄棒、バランスボールを用いた体幹を使ったバランス</w:t>
            </w:r>
            <w:r w:rsidR="008D444E">
              <w:rPr>
                <w:rFonts w:hint="eastAsia"/>
              </w:rPr>
              <w:t>遊び。</w:t>
            </w:r>
          </w:p>
        </w:tc>
      </w:tr>
      <w:tr w:rsidR="00B279E6" w14:paraId="2F8BF4E9" w14:textId="77777777" w:rsidTr="003C7495">
        <w:trPr>
          <w:trHeight w:val="720"/>
        </w:trPr>
        <w:tc>
          <w:tcPr>
            <w:tcW w:w="427" w:type="dxa"/>
            <w:vMerge/>
            <w:tcBorders>
              <w:left w:val="single" w:sz="18" w:space="0" w:color="auto"/>
            </w:tcBorders>
            <w:shd w:val="clear" w:color="auto" w:fill="E7E6E6" w:themeFill="background2"/>
          </w:tcPr>
          <w:p w14:paraId="1B66D3CF" w14:textId="77777777" w:rsidR="00B279E6" w:rsidRDefault="00B279E6"/>
        </w:tc>
        <w:tc>
          <w:tcPr>
            <w:tcW w:w="2116" w:type="dxa"/>
            <w:shd w:val="clear" w:color="auto" w:fill="E7E6E6" w:themeFill="background2"/>
            <w:vAlign w:val="center"/>
          </w:tcPr>
          <w:p w14:paraId="52D87AF3" w14:textId="77777777" w:rsidR="00B279E6" w:rsidRDefault="00B279E6" w:rsidP="00B279E6">
            <w:pPr>
              <w:jc w:val="center"/>
            </w:pPr>
            <w:r>
              <w:rPr>
                <w:rFonts w:hint="eastAsia"/>
              </w:rPr>
              <w:t>認知・行動</w:t>
            </w:r>
          </w:p>
        </w:tc>
        <w:tc>
          <w:tcPr>
            <w:tcW w:w="12809" w:type="dxa"/>
            <w:gridSpan w:val="3"/>
            <w:tcBorders>
              <w:right w:val="single" w:sz="18" w:space="0" w:color="auto"/>
            </w:tcBorders>
          </w:tcPr>
          <w:p w14:paraId="17A942C7" w14:textId="77777777" w:rsidR="00B279E6" w:rsidRDefault="0072722B" w:rsidP="0072722B">
            <w:pPr>
              <w:pStyle w:val="a8"/>
              <w:numPr>
                <w:ilvl w:val="0"/>
                <w:numId w:val="6"/>
              </w:numPr>
              <w:ind w:leftChars="0"/>
            </w:pPr>
            <w:r>
              <w:rPr>
                <w:rFonts w:hint="eastAsia"/>
              </w:rPr>
              <w:t>壁掛けのアナログ時計や学習時計を用いることでの時間の概念の教育。</w:t>
            </w:r>
          </w:p>
          <w:p w14:paraId="70292539" w14:textId="77777777" w:rsidR="0072722B" w:rsidRDefault="0072722B" w:rsidP="0072722B">
            <w:pPr>
              <w:pStyle w:val="a8"/>
              <w:numPr>
                <w:ilvl w:val="0"/>
                <w:numId w:val="6"/>
              </w:numPr>
              <w:ind w:leftChars="0"/>
            </w:pPr>
            <w:r>
              <w:rPr>
                <w:rFonts w:hint="eastAsia"/>
              </w:rPr>
              <w:t>学校との連携における学習や宿題への補助。</w:t>
            </w:r>
          </w:p>
          <w:p w14:paraId="54090209" w14:textId="2AD69728" w:rsidR="0072722B" w:rsidRDefault="0072722B" w:rsidP="0072722B">
            <w:pPr>
              <w:pStyle w:val="a8"/>
              <w:numPr>
                <w:ilvl w:val="0"/>
                <w:numId w:val="6"/>
              </w:numPr>
              <w:ind w:leftChars="0"/>
            </w:pPr>
            <w:r>
              <w:rPr>
                <w:rFonts w:hint="eastAsia"/>
              </w:rPr>
              <w:t>各児童の学力に応じて支援方法を調節し、「できた」「わかった」の成功体験を得られる指導。</w:t>
            </w:r>
          </w:p>
          <w:p w14:paraId="039BB7F7" w14:textId="0EAF9EFD" w:rsidR="0072722B" w:rsidRDefault="0072722B" w:rsidP="0072722B">
            <w:pPr>
              <w:pStyle w:val="a8"/>
              <w:numPr>
                <w:ilvl w:val="0"/>
                <w:numId w:val="6"/>
              </w:numPr>
              <w:ind w:leftChars="0"/>
            </w:pPr>
            <w:r>
              <w:rPr>
                <w:rFonts w:hint="eastAsia"/>
              </w:rPr>
              <w:t>宿題や勉強、読書といった集中して</w:t>
            </w:r>
            <w:r w:rsidR="007B4A15">
              <w:rPr>
                <w:rFonts w:hint="eastAsia"/>
              </w:rPr>
              <w:t>取り組む</w:t>
            </w:r>
            <w:r>
              <w:rPr>
                <w:rFonts w:hint="eastAsia"/>
              </w:rPr>
              <w:t>ための静かな空間を提供できる環境設定。</w:t>
            </w:r>
          </w:p>
          <w:p w14:paraId="374F4E45" w14:textId="77777777" w:rsidR="0072722B" w:rsidRDefault="0072722B" w:rsidP="0072722B">
            <w:pPr>
              <w:pStyle w:val="a8"/>
              <w:numPr>
                <w:ilvl w:val="0"/>
                <w:numId w:val="6"/>
              </w:numPr>
              <w:ind w:leftChars="0"/>
            </w:pPr>
            <w:r>
              <w:rPr>
                <w:rFonts w:hint="eastAsia"/>
              </w:rPr>
              <w:t>思考する習慣を取り入れ、「なぜ」「どうして」と考えることで勉学や社会性への汎用できる支援。</w:t>
            </w:r>
          </w:p>
          <w:p w14:paraId="55F19272" w14:textId="64A8F057" w:rsidR="0072722B" w:rsidRDefault="0072722B" w:rsidP="0072722B">
            <w:pPr>
              <w:pStyle w:val="a8"/>
              <w:numPr>
                <w:ilvl w:val="0"/>
                <w:numId w:val="6"/>
              </w:numPr>
              <w:ind w:leftChars="0"/>
            </w:pPr>
            <w:r>
              <w:rPr>
                <w:rFonts w:hint="eastAsia"/>
              </w:rPr>
              <w:t>時間での切り替えが苦手な児童に対しては事前に支援者が声掛けを行ったり、スケジューリングを共有したり、児童同士が協調したりすることで、今どのような行動を行うべきなのかを再認知することができる支援。</w:t>
            </w:r>
          </w:p>
        </w:tc>
      </w:tr>
      <w:tr w:rsidR="00B279E6" w:rsidRPr="0055411A" w14:paraId="3100499C" w14:textId="77777777" w:rsidTr="003C7495">
        <w:trPr>
          <w:trHeight w:val="720"/>
        </w:trPr>
        <w:tc>
          <w:tcPr>
            <w:tcW w:w="427" w:type="dxa"/>
            <w:vMerge/>
            <w:tcBorders>
              <w:left w:val="single" w:sz="18" w:space="0" w:color="auto"/>
            </w:tcBorders>
            <w:shd w:val="clear" w:color="auto" w:fill="E7E6E6" w:themeFill="background2"/>
          </w:tcPr>
          <w:p w14:paraId="273F4BCA" w14:textId="77777777" w:rsidR="00B279E6" w:rsidRDefault="00B279E6"/>
        </w:tc>
        <w:tc>
          <w:tcPr>
            <w:tcW w:w="2116" w:type="dxa"/>
            <w:shd w:val="clear" w:color="auto" w:fill="E7E6E6" w:themeFill="background2"/>
            <w:vAlign w:val="center"/>
          </w:tcPr>
          <w:p w14:paraId="424B4040" w14:textId="77777777" w:rsidR="00B279E6" w:rsidRDefault="00B279E6" w:rsidP="00B279E6">
            <w:pPr>
              <w:jc w:val="center"/>
            </w:pPr>
            <w:r>
              <w:rPr>
                <w:rFonts w:hint="eastAsia"/>
              </w:rPr>
              <w:t>言語</w:t>
            </w:r>
          </w:p>
          <w:p w14:paraId="5BECB61C" w14:textId="77777777" w:rsidR="00B279E6" w:rsidRDefault="00B279E6" w:rsidP="00B279E6">
            <w:pPr>
              <w:jc w:val="center"/>
            </w:pPr>
            <w:r>
              <w:rPr>
                <w:rFonts w:hint="eastAsia"/>
              </w:rPr>
              <w:t>コミュニケーション</w:t>
            </w:r>
          </w:p>
        </w:tc>
        <w:tc>
          <w:tcPr>
            <w:tcW w:w="12809" w:type="dxa"/>
            <w:gridSpan w:val="3"/>
            <w:tcBorders>
              <w:right w:val="single" w:sz="18" w:space="0" w:color="auto"/>
            </w:tcBorders>
          </w:tcPr>
          <w:p w14:paraId="70FA5FD2" w14:textId="00F5FD51" w:rsidR="006B57AB" w:rsidRDefault="006B57AB" w:rsidP="0039344D">
            <w:r>
              <w:rPr>
                <w:rFonts w:hint="eastAsia"/>
              </w:rPr>
              <w:t>インリアルアプローチに基づいた基本姿勢から児童の現状の言語能力に合わせた環境調整</w:t>
            </w:r>
          </w:p>
          <w:p w14:paraId="4C84C1D0" w14:textId="77777777" w:rsidR="0039344D" w:rsidRDefault="0039344D" w:rsidP="0039344D">
            <w:pPr>
              <w:pStyle w:val="a8"/>
              <w:numPr>
                <w:ilvl w:val="0"/>
                <w:numId w:val="3"/>
              </w:numPr>
              <w:ind w:leftChars="0"/>
            </w:pPr>
            <w:r>
              <w:rPr>
                <w:rFonts w:hint="eastAsia"/>
              </w:rPr>
              <w:t>スケジュールや活動内容をイラスト等のコミュニケーションツールを用いて視覚化し言語化に向けた支援。</w:t>
            </w:r>
          </w:p>
          <w:p w14:paraId="6330264E" w14:textId="75F3A1DA" w:rsidR="0039344D" w:rsidRDefault="0039344D" w:rsidP="0039344D">
            <w:pPr>
              <w:pStyle w:val="a8"/>
              <w:numPr>
                <w:ilvl w:val="0"/>
                <w:numId w:val="3"/>
              </w:numPr>
              <w:ind w:leftChars="0"/>
            </w:pPr>
            <w:r>
              <w:rPr>
                <w:rFonts w:hint="eastAsia"/>
              </w:rPr>
              <w:t>支援者が気持ちを代弁すること</w:t>
            </w:r>
            <w:r w:rsidR="00A92B13">
              <w:rPr>
                <w:rFonts w:hint="eastAsia"/>
              </w:rPr>
              <w:t>で</w:t>
            </w:r>
            <w:r w:rsidR="0055411A">
              <w:rPr>
                <w:rFonts w:hint="eastAsia"/>
              </w:rPr>
              <w:t>会話の疎通性の向上を図り、自分の想いを伝える・伝わる経験を積み重ねられる。</w:t>
            </w:r>
          </w:p>
          <w:p w14:paraId="545313BD" w14:textId="77777777" w:rsidR="0055411A" w:rsidRDefault="0055411A" w:rsidP="0039344D">
            <w:pPr>
              <w:pStyle w:val="a8"/>
              <w:numPr>
                <w:ilvl w:val="0"/>
                <w:numId w:val="3"/>
              </w:numPr>
              <w:ind w:leftChars="0"/>
            </w:pPr>
            <w:r>
              <w:rPr>
                <w:rFonts w:hint="eastAsia"/>
              </w:rPr>
              <w:t>指折り、身振り、口の動きを見せる等のノンバーバル（非言語的）なコミュニケーションを活用し、発語が苦手な児童においても意思伝達がスムーズに行えるよう支援。</w:t>
            </w:r>
          </w:p>
          <w:p w14:paraId="430B26A1" w14:textId="77777777" w:rsidR="0055411A" w:rsidRDefault="0055411A" w:rsidP="0039344D">
            <w:pPr>
              <w:pStyle w:val="a8"/>
              <w:numPr>
                <w:ilvl w:val="0"/>
                <w:numId w:val="3"/>
              </w:numPr>
              <w:ind w:leftChars="0"/>
            </w:pPr>
            <w:r>
              <w:rPr>
                <w:rFonts w:hint="eastAsia"/>
              </w:rPr>
              <w:t>個々の特性や能力に応じて教材プリントや絵本等を使い分け、読み書き能力の向上や理解・表出に繋がる支援。</w:t>
            </w:r>
          </w:p>
          <w:p w14:paraId="2313285D" w14:textId="56649863" w:rsidR="0055411A" w:rsidRPr="0039344D" w:rsidRDefault="0055411A" w:rsidP="0039344D">
            <w:pPr>
              <w:pStyle w:val="a8"/>
              <w:numPr>
                <w:ilvl w:val="0"/>
                <w:numId w:val="3"/>
              </w:numPr>
              <w:ind w:leftChars="0"/>
            </w:pPr>
            <w:r>
              <w:rPr>
                <w:rFonts w:hint="eastAsia"/>
              </w:rPr>
              <w:t>集団での遊びや活動を通じて、その場や相手の状況に応じた言動・対応スキルの獲得が行えるような経験を積む</w:t>
            </w:r>
          </w:p>
        </w:tc>
      </w:tr>
      <w:tr w:rsidR="00B279E6" w:rsidRPr="0001201B" w14:paraId="2B2AC2DE" w14:textId="77777777" w:rsidTr="003C7495">
        <w:trPr>
          <w:trHeight w:val="720"/>
        </w:trPr>
        <w:tc>
          <w:tcPr>
            <w:tcW w:w="427" w:type="dxa"/>
            <w:vMerge/>
            <w:tcBorders>
              <w:left w:val="single" w:sz="18" w:space="0" w:color="auto"/>
              <w:bottom w:val="single" w:sz="18" w:space="0" w:color="auto"/>
            </w:tcBorders>
            <w:shd w:val="clear" w:color="auto" w:fill="E7E6E6" w:themeFill="background2"/>
          </w:tcPr>
          <w:p w14:paraId="7314A6A2" w14:textId="77777777" w:rsidR="00B279E6" w:rsidRDefault="00B279E6"/>
        </w:tc>
        <w:tc>
          <w:tcPr>
            <w:tcW w:w="2116" w:type="dxa"/>
            <w:tcBorders>
              <w:bottom w:val="single" w:sz="18" w:space="0" w:color="auto"/>
            </w:tcBorders>
            <w:shd w:val="clear" w:color="auto" w:fill="E7E6E6" w:themeFill="background2"/>
            <w:vAlign w:val="center"/>
          </w:tcPr>
          <w:p w14:paraId="7A498132" w14:textId="77777777" w:rsidR="00B279E6" w:rsidRDefault="00B279E6" w:rsidP="00B279E6">
            <w:pPr>
              <w:jc w:val="center"/>
            </w:pPr>
            <w:r>
              <w:rPr>
                <w:rFonts w:hint="eastAsia"/>
              </w:rPr>
              <w:t>人間関係</w:t>
            </w:r>
          </w:p>
          <w:p w14:paraId="70EE4E2D" w14:textId="77777777" w:rsidR="00B279E6" w:rsidRDefault="00B279E6" w:rsidP="00B279E6">
            <w:pPr>
              <w:jc w:val="center"/>
            </w:pPr>
            <w:r>
              <w:rPr>
                <w:rFonts w:hint="eastAsia"/>
              </w:rPr>
              <w:t>社会性</w:t>
            </w:r>
          </w:p>
        </w:tc>
        <w:tc>
          <w:tcPr>
            <w:tcW w:w="12809" w:type="dxa"/>
            <w:gridSpan w:val="3"/>
            <w:tcBorders>
              <w:bottom w:val="single" w:sz="18" w:space="0" w:color="auto"/>
              <w:right w:val="single" w:sz="18" w:space="0" w:color="auto"/>
            </w:tcBorders>
          </w:tcPr>
          <w:p w14:paraId="3EE2950B" w14:textId="1E5E4FFA" w:rsidR="00B279E6" w:rsidRDefault="0001201B" w:rsidP="00721E45">
            <w:pPr>
              <w:pStyle w:val="a8"/>
              <w:numPr>
                <w:ilvl w:val="0"/>
                <w:numId w:val="4"/>
              </w:numPr>
              <w:ind w:leftChars="0"/>
            </w:pPr>
            <w:r>
              <w:rPr>
                <w:rFonts w:hint="eastAsia"/>
              </w:rPr>
              <w:t>他者と関わり合うことでの信頼関係の構築</w:t>
            </w:r>
            <w:r w:rsidR="00A92B13">
              <w:rPr>
                <w:rFonts w:hint="eastAsia"/>
              </w:rPr>
              <w:t>により</w:t>
            </w:r>
            <w:r>
              <w:rPr>
                <w:rFonts w:hint="eastAsia"/>
              </w:rPr>
              <w:t>、他者を頼ることができ、環境への安心感が育まれるような支援。</w:t>
            </w:r>
          </w:p>
          <w:p w14:paraId="5FDDB155" w14:textId="53AA0824" w:rsidR="00F700F5" w:rsidRDefault="0001201B" w:rsidP="00721E45">
            <w:pPr>
              <w:pStyle w:val="a8"/>
              <w:numPr>
                <w:ilvl w:val="0"/>
                <w:numId w:val="4"/>
              </w:numPr>
              <w:ind w:leftChars="0"/>
            </w:pPr>
            <w:r>
              <w:rPr>
                <w:rFonts w:hint="eastAsia"/>
              </w:rPr>
              <w:t>活動中に感情が崩れたり不安になった</w:t>
            </w:r>
            <w:r w:rsidR="00F700F5">
              <w:rPr>
                <w:rFonts w:hint="eastAsia"/>
              </w:rPr>
              <w:t>りした</w:t>
            </w:r>
            <w:r>
              <w:rPr>
                <w:rFonts w:hint="eastAsia"/>
              </w:rPr>
              <w:t>際に支援者が</w:t>
            </w:r>
            <w:r w:rsidR="00F700F5">
              <w:rPr>
                <w:rFonts w:hint="eastAsia"/>
              </w:rPr>
              <w:t>すぐに寄り添い、情緒の安定化を図り、感情の折り合いがつくような話し合い、または環境設定を行っている。</w:t>
            </w:r>
          </w:p>
          <w:p w14:paraId="2C5B7638" w14:textId="22FA94A2" w:rsidR="00F700F5" w:rsidRDefault="00F700F5" w:rsidP="00721E45">
            <w:pPr>
              <w:pStyle w:val="a8"/>
              <w:numPr>
                <w:ilvl w:val="0"/>
                <w:numId w:val="4"/>
              </w:numPr>
              <w:ind w:leftChars="0"/>
            </w:pPr>
            <w:r>
              <w:rPr>
                <w:rFonts w:hint="eastAsia"/>
              </w:rPr>
              <w:t>集団活動に対する参加や協調</w:t>
            </w:r>
            <w:r w:rsidR="00721E45">
              <w:rPr>
                <w:rFonts w:hint="eastAsia"/>
              </w:rPr>
              <w:t>が</w:t>
            </w:r>
            <w:r>
              <w:rPr>
                <w:rFonts w:hint="eastAsia"/>
              </w:rPr>
              <w:t>しやすくなるようルールを定めており、</w:t>
            </w:r>
            <w:r w:rsidR="00721E45">
              <w:rPr>
                <w:rFonts w:hint="eastAsia"/>
              </w:rPr>
              <w:t>集団への参加が苦手な児童やルールの理解や従順することができない児童への支援を、遊びを通じて学んでもらっている。</w:t>
            </w:r>
          </w:p>
          <w:p w14:paraId="4D43C07D" w14:textId="5AEB52D6" w:rsidR="00721E45" w:rsidRDefault="00721E45" w:rsidP="00721E45">
            <w:pPr>
              <w:pStyle w:val="a8"/>
              <w:numPr>
                <w:ilvl w:val="0"/>
                <w:numId w:val="4"/>
              </w:numPr>
              <w:ind w:leftChars="0"/>
            </w:pPr>
            <w:r>
              <w:rPr>
                <w:rFonts w:hint="eastAsia"/>
              </w:rPr>
              <w:t>遊びを通じて他者の動きを</w:t>
            </w:r>
            <w:r w:rsidR="000424DD">
              <w:rPr>
                <w:rFonts w:hint="eastAsia"/>
              </w:rPr>
              <w:t>真似してもらうことで</w:t>
            </w:r>
            <w:r>
              <w:rPr>
                <w:rFonts w:hint="eastAsia"/>
              </w:rPr>
              <w:t>、社会性の発達や、対人関係の構築を支援。</w:t>
            </w:r>
          </w:p>
          <w:p w14:paraId="7E0A5424" w14:textId="77777777" w:rsidR="00721E45" w:rsidRDefault="00721E45" w:rsidP="000424DD">
            <w:pPr>
              <w:pStyle w:val="a8"/>
              <w:numPr>
                <w:ilvl w:val="0"/>
                <w:numId w:val="4"/>
              </w:numPr>
              <w:ind w:leftChars="0"/>
            </w:pPr>
            <w:r>
              <w:rPr>
                <w:rFonts w:hint="eastAsia"/>
              </w:rPr>
              <w:t>1人遊びから並行遊び</w:t>
            </w:r>
            <w:r w:rsidR="000424DD">
              <w:rPr>
                <w:rFonts w:hint="eastAsia"/>
              </w:rPr>
              <w:t>、小集団での遊びを通じて、</w:t>
            </w:r>
            <w:r>
              <w:rPr>
                <w:rFonts w:hint="eastAsia"/>
              </w:rPr>
              <w:t>支援者が介入し</w:t>
            </w:r>
            <w:r w:rsidR="000424DD">
              <w:rPr>
                <w:rFonts w:hint="eastAsia"/>
              </w:rPr>
              <w:t>、</w:t>
            </w:r>
            <w:r>
              <w:rPr>
                <w:rFonts w:hint="eastAsia"/>
              </w:rPr>
              <w:t>連合的な遊び、役割分担、ルールを</w:t>
            </w:r>
            <w:r w:rsidR="000424DD">
              <w:rPr>
                <w:rFonts w:hint="eastAsia"/>
              </w:rPr>
              <w:t>学ぶ</w:t>
            </w:r>
            <w:r>
              <w:rPr>
                <w:rFonts w:hint="eastAsia"/>
              </w:rPr>
              <w:t>。</w:t>
            </w:r>
          </w:p>
          <w:p w14:paraId="013A0DA9" w14:textId="11E540FB" w:rsidR="000424DD" w:rsidRPr="00721E45" w:rsidRDefault="000424DD" w:rsidP="000424DD">
            <w:pPr>
              <w:pStyle w:val="a8"/>
              <w:numPr>
                <w:ilvl w:val="0"/>
                <w:numId w:val="4"/>
              </w:numPr>
              <w:ind w:leftChars="0"/>
            </w:pPr>
            <w:r>
              <w:rPr>
                <w:rFonts w:hint="eastAsia"/>
              </w:rPr>
              <w:t>児童</w:t>
            </w:r>
            <w:r w:rsidR="007A6AEC">
              <w:rPr>
                <w:rFonts w:hint="eastAsia"/>
              </w:rPr>
              <w:t>が</w:t>
            </w:r>
            <w:r>
              <w:rPr>
                <w:rFonts w:hint="eastAsia"/>
              </w:rPr>
              <w:t>できること、苦手なことを支援者が把握して、児童自身の行動を理解し、気持ちや情動の調整ができるよう支援。</w:t>
            </w:r>
          </w:p>
        </w:tc>
      </w:tr>
    </w:tbl>
    <w:p w14:paraId="22829A84" w14:textId="77777777" w:rsidR="00021853" w:rsidRDefault="00021853"/>
    <w:sectPr w:rsidR="00021853" w:rsidSect="00021853">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F976" w14:textId="77777777" w:rsidR="00B74A33" w:rsidRDefault="00B74A33" w:rsidP="00884892">
      <w:r>
        <w:separator/>
      </w:r>
    </w:p>
  </w:endnote>
  <w:endnote w:type="continuationSeparator" w:id="0">
    <w:p w14:paraId="46C00F3F" w14:textId="77777777" w:rsidR="00B74A33" w:rsidRDefault="00B74A33" w:rsidP="0088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693F" w14:textId="77777777" w:rsidR="00B74A33" w:rsidRDefault="00B74A33" w:rsidP="00884892">
      <w:r>
        <w:separator/>
      </w:r>
    </w:p>
  </w:footnote>
  <w:footnote w:type="continuationSeparator" w:id="0">
    <w:p w14:paraId="7AAD5931" w14:textId="77777777" w:rsidR="00B74A33" w:rsidRDefault="00B74A33" w:rsidP="00884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A52"/>
    <w:multiLevelType w:val="hybridMultilevel"/>
    <w:tmpl w:val="47620EB6"/>
    <w:lvl w:ilvl="0" w:tplc="FD5699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804FDD"/>
    <w:multiLevelType w:val="hybridMultilevel"/>
    <w:tmpl w:val="2CE6D7D4"/>
    <w:lvl w:ilvl="0" w:tplc="59C448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8C04BE1"/>
    <w:multiLevelType w:val="hybridMultilevel"/>
    <w:tmpl w:val="A972001C"/>
    <w:lvl w:ilvl="0" w:tplc="28FCC7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77589E"/>
    <w:multiLevelType w:val="hybridMultilevel"/>
    <w:tmpl w:val="BA003336"/>
    <w:lvl w:ilvl="0" w:tplc="8EFA8E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7B0F05"/>
    <w:multiLevelType w:val="hybridMultilevel"/>
    <w:tmpl w:val="1F22D604"/>
    <w:lvl w:ilvl="0" w:tplc="5218E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04206BE"/>
    <w:multiLevelType w:val="hybridMultilevel"/>
    <w:tmpl w:val="7AB00FE0"/>
    <w:lvl w:ilvl="0" w:tplc="F4D8C4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8444364">
    <w:abstractNumId w:val="3"/>
  </w:num>
  <w:num w:numId="2" w16cid:durableId="776560205">
    <w:abstractNumId w:val="0"/>
  </w:num>
  <w:num w:numId="3" w16cid:durableId="872693177">
    <w:abstractNumId w:val="2"/>
  </w:num>
  <w:num w:numId="4" w16cid:durableId="1791780124">
    <w:abstractNumId w:val="4"/>
  </w:num>
  <w:num w:numId="5" w16cid:durableId="1206330487">
    <w:abstractNumId w:val="1"/>
  </w:num>
  <w:num w:numId="6" w16cid:durableId="2062710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53"/>
    <w:rsid w:val="0001201B"/>
    <w:rsid w:val="00021853"/>
    <w:rsid w:val="000424DD"/>
    <w:rsid w:val="001236B3"/>
    <w:rsid w:val="00341149"/>
    <w:rsid w:val="0039344D"/>
    <w:rsid w:val="003C7495"/>
    <w:rsid w:val="003D499B"/>
    <w:rsid w:val="00454E8B"/>
    <w:rsid w:val="0050152F"/>
    <w:rsid w:val="00521C31"/>
    <w:rsid w:val="00522941"/>
    <w:rsid w:val="0055411A"/>
    <w:rsid w:val="005D4339"/>
    <w:rsid w:val="005E5C07"/>
    <w:rsid w:val="006147DC"/>
    <w:rsid w:val="00620ED2"/>
    <w:rsid w:val="006B57AB"/>
    <w:rsid w:val="00721E45"/>
    <w:rsid w:val="0072722B"/>
    <w:rsid w:val="00740759"/>
    <w:rsid w:val="007A5814"/>
    <w:rsid w:val="007A6AEC"/>
    <w:rsid w:val="007B4A15"/>
    <w:rsid w:val="008661F1"/>
    <w:rsid w:val="00884892"/>
    <w:rsid w:val="008C218C"/>
    <w:rsid w:val="008D444E"/>
    <w:rsid w:val="009C63C1"/>
    <w:rsid w:val="00A05548"/>
    <w:rsid w:val="00A92B13"/>
    <w:rsid w:val="00B212EE"/>
    <w:rsid w:val="00B279E6"/>
    <w:rsid w:val="00B31BCE"/>
    <w:rsid w:val="00B74A33"/>
    <w:rsid w:val="00B87253"/>
    <w:rsid w:val="00BE797F"/>
    <w:rsid w:val="00D15902"/>
    <w:rsid w:val="00D60934"/>
    <w:rsid w:val="00D73357"/>
    <w:rsid w:val="00D867A6"/>
    <w:rsid w:val="00DA2DF5"/>
    <w:rsid w:val="00DB65D8"/>
    <w:rsid w:val="00E57B9C"/>
    <w:rsid w:val="00E72A12"/>
    <w:rsid w:val="00F7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64744"/>
  <w15:chartTrackingRefBased/>
  <w15:docId w15:val="{9DA93412-CBB4-45CD-BA14-43556331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1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4892"/>
    <w:pPr>
      <w:tabs>
        <w:tab w:val="center" w:pos="4252"/>
        <w:tab w:val="right" w:pos="8504"/>
      </w:tabs>
      <w:snapToGrid w:val="0"/>
    </w:pPr>
  </w:style>
  <w:style w:type="character" w:customStyle="1" w:styleId="a5">
    <w:name w:val="ヘッダー (文字)"/>
    <w:basedOn w:val="a0"/>
    <w:link w:val="a4"/>
    <w:uiPriority w:val="99"/>
    <w:rsid w:val="00884892"/>
  </w:style>
  <w:style w:type="paragraph" w:styleId="a6">
    <w:name w:val="footer"/>
    <w:basedOn w:val="a"/>
    <w:link w:val="a7"/>
    <w:uiPriority w:val="99"/>
    <w:unhideWhenUsed/>
    <w:rsid w:val="00884892"/>
    <w:pPr>
      <w:tabs>
        <w:tab w:val="center" w:pos="4252"/>
        <w:tab w:val="right" w:pos="8504"/>
      </w:tabs>
      <w:snapToGrid w:val="0"/>
    </w:pPr>
  </w:style>
  <w:style w:type="character" w:customStyle="1" w:styleId="a7">
    <w:name w:val="フッター (文字)"/>
    <w:basedOn w:val="a0"/>
    <w:link w:val="a6"/>
    <w:uiPriority w:val="99"/>
    <w:rsid w:val="00884892"/>
  </w:style>
  <w:style w:type="paragraph" w:styleId="a8">
    <w:name w:val="List Paragraph"/>
    <w:basedOn w:val="a"/>
    <w:uiPriority w:val="34"/>
    <w:qFormat/>
    <w:rsid w:val="008848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2</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誠 中村</dc:creator>
  <cp:keywords/>
  <dc:description/>
  <cp:lastModifiedBy>誠 中村</cp:lastModifiedBy>
  <cp:revision>18</cp:revision>
  <cp:lastPrinted>2025-01-10T02:43:00Z</cp:lastPrinted>
  <dcterms:created xsi:type="dcterms:W3CDTF">2025-01-10T02:09:00Z</dcterms:created>
  <dcterms:modified xsi:type="dcterms:W3CDTF">2025-02-19T04:08:00Z</dcterms:modified>
</cp:coreProperties>
</file>